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EE53DB"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16"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EE53DB"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17" name="Imagen 23"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1803A7" w:rsidRDefault="0028592A" w:rsidP="00E427BE">
      <w:pPr>
        <w:spacing w:after="0" w:line="240" w:lineRule="auto"/>
        <w:jc w:val="both"/>
        <w:rPr>
          <w:rFonts w:ascii="Arial" w:hAnsi="Arial" w:cs="Arial"/>
          <w:sz w:val="6"/>
          <w:szCs w:val="6"/>
        </w:rPr>
      </w:pPr>
    </w:p>
    <w:p w:rsidR="00EE53DB" w:rsidRDefault="00EE53DB"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TEJUPILCO</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LINO GARCÍA GAMA</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BENITO OLASCOAGA SOLÍS</w:t>
      </w:r>
      <w:r w:rsidRPr="00603BE8">
        <w:rPr>
          <w:rFonts w:ascii="Arial" w:hAnsi="Arial" w:cs="Arial"/>
          <w:sz w:val="18"/>
          <w:szCs w:val="18"/>
        </w:rPr>
        <w:t xml:space="preserve">, Y EL </w:t>
      </w:r>
      <w:r w:rsidRPr="00603BE8">
        <w:rPr>
          <w:rFonts w:ascii="Arial" w:hAnsi="Arial" w:cs="Arial"/>
          <w:b/>
          <w:sz w:val="18"/>
          <w:szCs w:val="18"/>
        </w:rPr>
        <w:t>TESORERO MUNICIPAL, C. JUAN CARLOS OLIVOS HERNÁNDEZ</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57"/>
        </w:numPr>
        <w:tabs>
          <w:tab w:val="left" w:pos="567"/>
        </w:tabs>
        <w:spacing w:after="0" w:line="240" w:lineRule="auto"/>
        <w:ind w:firstLine="104"/>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57"/>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del punto 6 tomado en Sesión de Cabildo, celebrada en fecha veintinueve de enero de dos mil dieciséis, según consta en el acta respectiva identificada con el número 06,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Lino García Gama</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y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Benito Olascoaga Solís</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Juan Carlos Olivos Hernández</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5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Lino García Gama. </w:t>
      </w:r>
      <w:r w:rsidRPr="00603BE8">
        <w:rPr>
          <w:rFonts w:ascii="Arial" w:hAnsi="Arial" w:cs="Arial"/>
          <w:sz w:val="18"/>
          <w:szCs w:val="18"/>
        </w:rPr>
        <w:t>Constancia de Mayoría de fecha, once de junio de dos mil quince, expedida por el Instituto Electoral del Estado de México.</w:t>
      </w:r>
    </w:p>
    <w:p w:rsidR="0028592A" w:rsidRPr="00603BE8" w:rsidRDefault="0028592A" w:rsidP="00E427BE">
      <w:pPr>
        <w:numPr>
          <w:ilvl w:val="0"/>
          <w:numId w:val="5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Benito Olascoaga Solís</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Lino García Gama.</w:t>
      </w:r>
    </w:p>
    <w:p w:rsidR="0028592A" w:rsidRPr="00603BE8" w:rsidRDefault="0028592A" w:rsidP="00E427BE">
      <w:pPr>
        <w:numPr>
          <w:ilvl w:val="0"/>
          <w:numId w:val="58"/>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 xml:space="preserve">C. Juan Carlos Olivos Hernández: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Lino García Gama.</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Palacio Municipal, Plaza Hidalgo, sin número, Tejupilco, Estado de México.  </w:t>
      </w:r>
    </w:p>
    <w:p w:rsidR="0028592A" w:rsidRPr="00603BE8" w:rsidRDefault="0028592A" w:rsidP="00E427BE">
      <w:pPr>
        <w:numPr>
          <w:ilvl w:val="0"/>
          <w:numId w:val="57"/>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38, fracciones </w:t>
      </w:r>
      <w:r w:rsidRPr="00603BE8">
        <w:rPr>
          <w:rFonts w:ascii="Arial" w:hAnsi="Arial" w:cs="Arial"/>
          <w:sz w:val="18"/>
          <w:szCs w:val="18"/>
        </w:rPr>
        <w:lastRenderedPageBreak/>
        <w:t xml:space="preserve">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Tejupilco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59"/>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59"/>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59"/>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59"/>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59"/>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59"/>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5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5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59"/>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59"/>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59"/>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60"/>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60"/>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Tejupilco,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M, numeral 3, 14, fracciones IX, XXVIII, XXXII, XXXIII, XXXV inciso a), XXXVI, XLV, LII, LIV y LXXII, 15, 16, fracciones V, XI, XIII, primer párrafo, inciso c), XVII y XIX, 16 Bis, fracción ___,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lastRenderedPageBreak/>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61"/>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6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63"/>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63"/>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Tejupilco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6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62"/>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62"/>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61"/>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Tejupilco,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que </w:t>
      </w:r>
      <w:r w:rsidRPr="00603BE8">
        <w:rPr>
          <w:rFonts w:ascii="Arial" w:hAnsi="Arial" w:cs="Arial"/>
          <w:sz w:val="18"/>
          <w:szCs w:val="18"/>
        </w:rPr>
        <w:lastRenderedPageBreak/>
        <w:t xml:space="preserve">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6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6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6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6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6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6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65"/>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Pr="00603BE8" w:rsidRDefault="0028592A" w:rsidP="00E427BE">
      <w:pPr>
        <w:pStyle w:val="Prrafodelista"/>
        <w:ind w:left="0"/>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603BE8" w:rsidRDefault="0028592A" w:rsidP="00E427BE">
      <w:pPr>
        <w:pStyle w:val="Prrafodelista"/>
        <w:widowControl/>
        <w:numPr>
          <w:ilvl w:val="0"/>
          <w:numId w:val="66"/>
        </w:numPr>
        <w:overflowPunct/>
        <w:autoSpaceDE/>
        <w:autoSpaceDN/>
        <w:adjustRightInd/>
        <w:ind w:left="1134"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66"/>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66"/>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w:t>
      </w:r>
      <w:r w:rsidRPr="00603BE8">
        <w:rPr>
          <w:rFonts w:ascii="Arial" w:hAnsi="Arial" w:cs="Arial"/>
          <w:sz w:val="18"/>
          <w:szCs w:val="18"/>
        </w:rPr>
        <w:lastRenderedPageBreak/>
        <w:t xml:space="preserve">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67"/>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67"/>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67"/>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lastRenderedPageBreak/>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67"/>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veintinueve de enero de dos mil dieciséis.</w:t>
      </w: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ind w:left="360"/>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sz w:val="18"/>
                <w:szCs w:val="18"/>
              </w:rPr>
              <w:t>L. EN E. JOAQUÍN GUADALUPE CASTILLO TORRES</w:t>
            </w:r>
            <w:r w:rsidRPr="0028592A">
              <w:rPr>
                <w:rFonts w:ascii="Arial" w:hAnsi="Arial" w:cs="Arial"/>
                <w:b/>
                <w:bCs/>
                <w:sz w:val="18"/>
                <w:szCs w:val="18"/>
              </w:rPr>
              <w:t xml:space="preserve"> </w:t>
            </w: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LINO GARCÍA GAMA</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ind w:left="360"/>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BENITO OLASCOAGA SOLÍS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JUAN CARLOS OLIVOS HERNÁNDEZ</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 xml:space="preserve"> TESORERO MUNICIPAL</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(RÚBRICA).</w:t>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pBdr>
          <w:top w:val="single" w:sz="18" w:space="1" w:color="auto"/>
        </w:pBdr>
        <w:spacing w:after="0" w:line="240" w:lineRule="auto"/>
        <w:rPr>
          <w:rFonts w:ascii="Arial" w:hAnsi="Arial" w:cs="Arial"/>
          <w:sz w:val="18"/>
          <w:szCs w:val="18"/>
        </w:rPr>
      </w:pPr>
    </w:p>
    <w:p w:rsidR="0028592A" w:rsidRPr="00603BE8" w:rsidRDefault="00EE53DB"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581525" cy="5981700"/>
            <wp:effectExtent l="0" t="0" r="9525" b="0"/>
            <wp:docPr id="18" name="Imagen 24"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0001"/>
                    <pic:cNvPicPr>
                      <a:picLocks noChangeAspect="1" noChangeArrowheads="1"/>
                    </pic:cNvPicPr>
                  </pic:nvPicPr>
                  <pic:blipFill>
                    <a:blip r:embed="rId9">
                      <a:extLst>
                        <a:ext uri="{28A0092B-C50C-407E-A947-70E740481C1C}">
                          <a14:useLocalDpi xmlns:a14="http://schemas.microsoft.com/office/drawing/2010/main" val="0"/>
                        </a:ext>
                      </a:extLst>
                    </a:blip>
                    <a:srcRect l="6416" t="5096" r="6900" b="6937"/>
                    <a:stretch>
                      <a:fillRect/>
                    </a:stretch>
                  </pic:blipFill>
                  <pic:spPr bwMode="auto">
                    <a:xfrm>
                      <a:off x="0" y="0"/>
                      <a:ext cx="4581525" cy="5981700"/>
                    </a:xfrm>
                    <a:prstGeom prst="rect">
                      <a:avLst/>
                    </a:prstGeom>
                    <a:noFill/>
                    <a:ln>
                      <a:noFill/>
                    </a:ln>
                  </pic:spPr>
                </pic:pic>
              </a:graphicData>
            </a:graphic>
          </wp:inline>
        </w:drawing>
      </w:r>
    </w:p>
    <w:p w:rsidR="0028592A" w:rsidRPr="00603BE8" w:rsidRDefault="00EE53DB" w:rsidP="00E427BE">
      <w:pPr>
        <w:spacing w:after="0" w:line="240" w:lineRule="auto"/>
        <w:jc w:val="both"/>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5381625" cy="3086100"/>
            <wp:effectExtent l="0" t="0" r="9525" b="0"/>
            <wp:docPr id="19" name="Imagen 25"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0002"/>
                    <pic:cNvPicPr>
                      <a:picLocks noChangeAspect="1" noChangeArrowheads="1"/>
                    </pic:cNvPicPr>
                  </pic:nvPicPr>
                  <pic:blipFill>
                    <a:blip r:embed="rId10">
                      <a:extLst>
                        <a:ext uri="{28A0092B-C50C-407E-A947-70E740481C1C}">
                          <a14:useLocalDpi xmlns:a14="http://schemas.microsoft.com/office/drawing/2010/main" val="0"/>
                        </a:ext>
                      </a:extLst>
                    </a:blip>
                    <a:srcRect l="7065" t="25510" r="10806" b="38083"/>
                    <a:stretch>
                      <a:fillRect/>
                    </a:stretch>
                  </pic:blipFill>
                  <pic:spPr bwMode="auto">
                    <a:xfrm>
                      <a:off x="0" y="0"/>
                      <a:ext cx="5381625" cy="30861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E53DB"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76800" cy="5238750"/>
            <wp:effectExtent l="0" t="0" r="0" b="0"/>
            <wp:docPr id="20" name="Imagen 26"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0001"/>
                    <pic:cNvPicPr>
                      <a:picLocks noChangeAspect="1" noChangeArrowheads="1"/>
                    </pic:cNvPicPr>
                  </pic:nvPicPr>
                  <pic:blipFill>
                    <a:blip r:embed="rId11">
                      <a:extLst>
                        <a:ext uri="{28A0092B-C50C-407E-A947-70E740481C1C}">
                          <a14:useLocalDpi xmlns:a14="http://schemas.microsoft.com/office/drawing/2010/main" val="0"/>
                        </a:ext>
                      </a:extLst>
                    </a:blip>
                    <a:srcRect l="4645" t="4694" r="6271"/>
                    <a:stretch>
                      <a:fillRect/>
                    </a:stretch>
                  </pic:blipFill>
                  <pic:spPr bwMode="auto">
                    <a:xfrm>
                      <a:off x="0" y="0"/>
                      <a:ext cx="4876800" cy="5238750"/>
                    </a:xfrm>
                    <a:prstGeom prst="rect">
                      <a:avLst/>
                    </a:prstGeom>
                    <a:noFill/>
                    <a:ln>
                      <a:noFill/>
                    </a:ln>
                  </pic:spPr>
                </pic:pic>
              </a:graphicData>
            </a:graphic>
          </wp:inline>
        </w:drawing>
      </w:r>
    </w:p>
    <w:p w:rsidR="0028592A" w:rsidRPr="00603BE8" w:rsidRDefault="00EE53DB"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4210050"/>
            <wp:effectExtent l="0" t="0" r="9525" b="0"/>
            <wp:docPr id="21" name="Imagen 27"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0002"/>
                    <pic:cNvPicPr>
                      <a:picLocks noChangeAspect="1" noChangeArrowheads="1"/>
                    </pic:cNvPicPr>
                  </pic:nvPicPr>
                  <pic:blipFill>
                    <a:blip r:embed="rId12">
                      <a:extLst>
                        <a:ext uri="{28A0092B-C50C-407E-A947-70E740481C1C}">
                          <a14:useLocalDpi xmlns:a14="http://schemas.microsoft.com/office/drawing/2010/main" val="0"/>
                        </a:ext>
                      </a:extLst>
                    </a:blip>
                    <a:srcRect l="3900" t="10114" r="9508" b="1884"/>
                    <a:stretch>
                      <a:fillRect/>
                    </a:stretch>
                  </pic:blipFill>
                  <pic:spPr bwMode="auto">
                    <a:xfrm>
                      <a:off x="0" y="0"/>
                      <a:ext cx="4867275" cy="42100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E53DB"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4210050"/>
            <wp:effectExtent l="0" t="0" r="9525" b="0"/>
            <wp:docPr id="22" name="Imagen 28"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0003"/>
                    <pic:cNvPicPr>
                      <a:picLocks noChangeAspect="1" noChangeArrowheads="1"/>
                    </pic:cNvPicPr>
                  </pic:nvPicPr>
                  <pic:blipFill>
                    <a:blip r:embed="rId13">
                      <a:extLst>
                        <a:ext uri="{28A0092B-C50C-407E-A947-70E740481C1C}">
                          <a14:useLocalDpi xmlns:a14="http://schemas.microsoft.com/office/drawing/2010/main" val="0"/>
                        </a:ext>
                      </a:extLst>
                    </a:blip>
                    <a:srcRect l="4506" t="8846" r="8281" b="2040"/>
                    <a:stretch>
                      <a:fillRect/>
                    </a:stretch>
                  </pic:blipFill>
                  <pic:spPr bwMode="auto">
                    <a:xfrm>
                      <a:off x="0" y="0"/>
                      <a:ext cx="4867275" cy="4210050"/>
                    </a:xfrm>
                    <a:prstGeom prst="rect">
                      <a:avLst/>
                    </a:prstGeom>
                    <a:noFill/>
                    <a:ln>
                      <a:noFill/>
                    </a:ln>
                  </pic:spPr>
                </pic:pic>
              </a:graphicData>
            </a:graphic>
          </wp:inline>
        </w:drawing>
      </w:r>
    </w:p>
    <w:p w:rsidR="0028592A" w:rsidRPr="00603BE8" w:rsidRDefault="00EE53DB"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4391025"/>
            <wp:effectExtent l="0" t="0" r="0" b="9525"/>
            <wp:docPr id="23" name="Imagen 29"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0001"/>
                    <pic:cNvPicPr>
                      <a:picLocks noChangeAspect="1" noChangeArrowheads="1"/>
                    </pic:cNvPicPr>
                  </pic:nvPicPr>
                  <pic:blipFill>
                    <a:blip r:embed="rId14">
                      <a:extLst>
                        <a:ext uri="{28A0092B-C50C-407E-A947-70E740481C1C}">
                          <a14:useLocalDpi xmlns:a14="http://schemas.microsoft.com/office/drawing/2010/main" val="0"/>
                        </a:ext>
                      </a:extLst>
                    </a:blip>
                    <a:srcRect l="7695" t="8253" r="9369" b="710"/>
                    <a:stretch>
                      <a:fillRect/>
                    </a:stretch>
                  </pic:blipFill>
                  <pic:spPr bwMode="auto">
                    <a:xfrm>
                      <a:off x="0" y="0"/>
                      <a:ext cx="4857750" cy="4391025"/>
                    </a:xfrm>
                    <a:prstGeom prst="rect">
                      <a:avLst/>
                    </a:prstGeom>
                    <a:noFill/>
                    <a:ln>
                      <a:noFill/>
                    </a:ln>
                  </pic:spPr>
                </pic:pic>
              </a:graphicData>
            </a:graphic>
          </wp:inline>
        </w:drawing>
      </w:r>
    </w:p>
    <w:p w:rsidR="0028592A" w:rsidRPr="001945EA" w:rsidRDefault="0028592A" w:rsidP="00E427BE">
      <w:pPr>
        <w:spacing w:after="0" w:line="240" w:lineRule="auto"/>
        <w:rPr>
          <w:rFonts w:ascii="Arial" w:hAnsi="Arial" w:cs="Arial"/>
          <w:sz w:val="8"/>
          <w:szCs w:val="8"/>
        </w:rPr>
      </w:pPr>
    </w:p>
    <w:sectPr w:rsidR="0028592A" w:rsidRPr="001945E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8592A"/>
    <w:rsid w:val="002E69DF"/>
    <w:rsid w:val="003211F5"/>
    <w:rsid w:val="00424285"/>
    <w:rsid w:val="00470C4E"/>
    <w:rsid w:val="004C26DE"/>
    <w:rsid w:val="00541065"/>
    <w:rsid w:val="00570672"/>
    <w:rsid w:val="005A1D48"/>
    <w:rsid w:val="005C3606"/>
    <w:rsid w:val="005E16A1"/>
    <w:rsid w:val="006B2318"/>
    <w:rsid w:val="006D2FE4"/>
    <w:rsid w:val="007519D2"/>
    <w:rsid w:val="007C0A39"/>
    <w:rsid w:val="007E564E"/>
    <w:rsid w:val="00915A6B"/>
    <w:rsid w:val="009E13EA"/>
    <w:rsid w:val="00A46EE3"/>
    <w:rsid w:val="00A644FD"/>
    <w:rsid w:val="00AC57FF"/>
    <w:rsid w:val="00BA3EA6"/>
    <w:rsid w:val="00BC7D51"/>
    <w:rsid w:val="00D559AD"/>
    <w:rsid w:val="00D83C25"/>
    <w:rsid w:val="00E427BE"/>
    <w:rsid w:val="00E82EEF"/>
    <w:rsid w:val="00EA18FD"/>
    <w:rsid w:val="00EB3972"/>
    <w:rsid w:val="00EE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FFB763-E43D-4B78-98CB-59785E59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6692</Words>
  <Characters>36808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43414</CharactersWithSpaces>
  <SharedDoc>false</SharedDoc>
  <HLinks>
    <vt:vector size="336" baseType="variant">
      <vt:variant>
        <vt:i4>5439561</vt:i4>
      </vt:variant>
      <vt:variant>
        <vt:i4>165</vt:i4>
      </vt:variant>
      <vt:variant>
        <vt:i4>0</vt:i4>
      </vt:variant>
      <vt:variant>
        <vt:i4>5</vt:i4>
      </vt:variant>
      <vt:variant>
        <vt:lpwstr>http://www.edomex.gob.mx/</vt:lpwstr>
      </vt:variant>
      <vt:variant>
        <vt:lpwstr/>
      </vt:variant>
      <vt:variant>
        <vt:i4>5439561</vt:i4>
      </vt:variant>
      <vt:variant>
        <vt:i4>162</vt:i4>
      </vt:variant>
      <vt:variant>
        <vt:i4>0</vt:i4>
      </vt:variant>
      <vt:variant>
        <vt:i4>5</vt:i4>
      </vt:variant>
      <vt:variant>
        <vt:lpwstr>http://www.edomex.gob.mx/</vt:lpwstr>
      </vt:variant>
      <vt:variant>
        <vt:lpwstr/>
      </vt:variant>
      <vt:variant>
        <vt:i4>5439561</vt:i4>
      </vt:variant>
      <vt:variant>
        <vt:i4>159</vt:i4>
      </vt:variant>
      <vt:variant>
        <vt:i4>0</vt:i4>
      </vt:variant>
      <vt:variant>
        <vt:i4>5</vt:i4>
      </vt:variant>
      <vt:variant>
        <vt:lpwstr>http://www.edomex.gob.mx/</vt:lpwstr>
      </vt:variant>
      <vt:variant>
        <vt:lpwstr/>
      </vt:variant>
      <vt:variant>
        <vt:i4>5439561</vt:i4>
      </vt:variant>
      <vt:variant>
        <vt:i4>156</vt:i4>
      </vt:variant>
      <vt:variant>
        <vt:i4>0</vt:i4>
      </vt:variant>
      <vt:variant>
        <vt:i4>5</vt:i4>
      </vt:variant>
      <vt:variant>
        <vt:lpwstr>http://www.edomex.gob.mx/</vt:lpwstr>
      </vt:variant>
      <vt:variant>
        <vt:lpwstr/>
      </vt:variant>
      <vt:variant>
        <vt:i4>5439561</vt:i4>
      </vt:variant>
      <vt:variant>
        <vt:i4>153</vt:i4>
      </vt:variant>
      <vt:variant>
        <vt:i4>0</vt:i4>
      </vt:variant>
      <vt:variant>
        <vt:i4>5</vt:i4>
      </vt:variant>
      <vt:variant>
        <vt:lpwstr>http://www.edomex.gob.mx/</vt:lpwstr>
      </vt:variant>
      <vt:variant>
        <vt:lpwstr/>
      </vt:variant>
      <vt:variant>
        <vt:i4>5439561</vt:i4>
      </vt:variant>
      <vt:variant>
        <vt:i4>150</vt:i4>
      </vt:variant>
      <vt:variant>
        <vt:i4>0</vt:i4>
      </vt:variant>
      <vt:variant>
        <vt:i4>5</vt:i4>
      </vt:variant>
      <vt:variant>
        <vt:lpwstr>http://www.edomex.gob.mx/</vt:lpwstr>
      </vt:variant>
      <vt:variant>
        <vt:lpwstr/>
      </vt: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138</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3</cp:revision>
  <dcterms:created xsi:type="dcterms:W3CDTF">2017-05-31T20:03:00Z</dcterms:created>
  <dcterms:modified xsi:type="dcterms:W3CDTF">2017-05-31T20:04:00Z</dcterms:modified>
</cp:coreProperties>
</file>