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4B77E0"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4"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4B77E0"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5" name="Imagen 78"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PROVISIONAL DEL MUNICIPIO DE CHIAUTLA</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PROVISIONAL,</w:t>
      </w:r>
      <w:r w:rsidRPr="00603BE8">
        <w:rPr>
          <w:rFonts w:ascii="Arial" w:hAnsi="Arial" w:cs="Arial"/>
          <w:b/>
          <w:bCs/>
          <w:sz w:val="18"/>
          <w:szCs w:val="18"/>
        </w:rPr>
        <w:t xml:space="preserve"> </w:t>
      </w:r>
      <w:r w:rsidRPr="00603BE8">
        <w:rPr>
          <w:rFonts w:ascii="Arial" w:hAnsi="Arial" w:cs="Arial"/>
          <w:b/>
          <w:sz w:val="18"/>
          <w:szCs w:val="18"/>
        </w:rPr>
        <w:t>C. JORGE ALBERTO SALAZAR BOJORGES</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ARMANDO RUBÍ GARCÍA</w:t>
      </w:r>
      <w:r w:rsidRPr="00603BE8">
        <w:rPr>
          <w:rFonts w:ascii="Arial" w:hAnsi="Arial" w:cs="Arial"/>
          <w:sz w:val="18"/>
          <w:szCs w:val="18"/>
        </w:rPr>
        <w:t xml:space="preserve">, Y EL </w:t>
      </w:r>
      <w:r w:rsidRPr="00603BE8">
        <w:rPr>
          <w:rFonts w:ascii="Arial" w:hAnsi="Arial" w:cs="Arial"/>
          <w:b/>
          <w:sz w:val="18"/>
          <w:szCs w:val="18"/>
        </w:rPr>
        <w:t>TESORERO MUNICIPAL, C. FILIBERTO NICOLÁS JIMÉNEZ AYALA</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131"/>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b/>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LVI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131"/>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en la Primera Sesión Solemne de Cabildo, de fecha primero de enero de dos mil dieciséis, que consta en la certificación que se agrega al presente como </w:t>
      </w:r>
      <w:r w:rsidRPr="00603BE8">
        <w:rPr>
          <w:rFonts w:ascii="Arial" w:hAnsi="Arial" w:cs="Arial"/>
          <w:b/>
          <w:sz w:val="18"/>
          <w:szCs w:val="18"/>
        </w:rPr>
        <w:t>ANEXO “B”,</w:t>
      </w:r>
      <w:r w:rsidRPr="00603BE8">
        <w:rPr>
          <w:rFonts w:ascii="Arial" w:hAnsi="Arial" w:cs="Arial"/>
          <w:sz w:val="18"/>
          <w:szCs w:val="18"/>
        </w:rPr>
        <w:t xml:space="preserve"> en el acuerdo del punto número 6, se autorizó al Presidente Municipal Provisional, </w:t>
      </w:r>
      <w:r w:rsidRPr="00603BE8">
        <w:rPr>
          <w:rFonts w:ascii="Arial" w:hAnsi="Arial" w:cs="Arial"/>
          <w:b/>
          <w:sz w:val="18"/>
          <w:szCs w:val="18"/>
        </w:rPr>
        <w:t>C. Jorge Alberto Salazar Bojorges</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23, 25, 31 fracciones II y XLVI,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Armando Rubí García</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 Filiberto Nicolás Jiménez Ayala,</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132"/>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Jorge Alberto Salazar Bojorges. </w:t>
      </w:r>
      <w:r w:rsidRPr="00603BE8">
        <w:rPr>
          <w:rFonts w:ascii="Arial" w:hAnsi="Arial" w:cs="Arial"/>
          <w:sz w:val="18"/>
          <w:szCs w:val="18"/>
        </w:rPr>
        <w:t>Decreto</w:t>
      </w:r>
      <w:r w:rsidRPr="00603BE8">
        <w:rPr>
          <w:rFonts w:ascii="Arial" w:hAnsi="Arial" w:cs="Arial"/>
          <w:b/>
          <w:sz w:val="18"/>
          <w:szCs w:val="18"/>
        </w:rPr>
        <w:t xml:space="preserve"> </w:t>
      </w:r>
      <w:r w:rsidRPr="00603BE8">
        <w:rPr>
          <w:rFonts w:ascii="Arial" w:hAnsi="Arial" w:cs="Arial"/>
          <w:sz w:val="18"/>
          <w:szCs w:val="18"/>
        </w:rPr>
        <w:t>número 45, de doce de diciembre de dos mil quince, emitido por el Gobernador Constitucional del Estado de México, publicado en la misma fecha, en el periódico oficial “Gaceta del Gobierno”, número  115.</w:t>
      </w:r>
    </w:p>
    <w:p w:rsidR="0028592A" w:rsidRPr="00603BE8" w:rsidRDefault="0028592A" w:rsidP="00E427BE">
      <w:pPr>
        <w:numPr>
          <w:ilvl w:val="0"/>
          <w:numId w:val="132"/>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Armando Rubí García</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Jorge Alberto Salazar Bojorges.</w:t>
      </w:r>
    </w:p>
    <w:p w:rsidR="0028592A" w:rsidRPr="00603BE8" w:rsidRDefault="0028592A" w:rsidP="00E427BE">
      <w:pPr>
        <w:numPr>
          <w:ilvl w:val="0"/>
          <w:numId w:val="132"/>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 xml:space="preserve">Filiberto Nicolás Jiménez Ayala: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Jorge Alberto Salazar Bojorges.</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906716">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Palacio Municipal, sin número, Chiautla, Estado de México. C.P. 56030.  </w:t>
      </w:r>
    </w:p>
    <w:p w:rsidR="0028592A" w:rsidRPr="00603BE8" w:rsidRDefault="0028592A" w:rsidP="00E427BE">
      <w:pPr>
        <w:numPr>
          <w:ilvl w:val="0"/>
          <w:numId w:val="131"/>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LVI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fracción V, 11 fracciones I y II, 12, 13, 14, fracciones IX, XXVIII, XXXII, XXXIII, XXXV inciso a), XLV, LII, LIV y LXXII, 15 y 16 fracciones V, XI, XIII, primer párrafo, inciso c), XVII y XIX, 36 y </w:t>
      </w:r>
      <w:r w:rsidRPr="00603BE8">
        <w:rPr>
          <w:rFonts w:ascii="Arial" w:hAnsi="Arial" w:cs="Arial"/>
          <w:sz w:val="18"/>
          <w:szCs w:val="18"/>
        </w:rPr>
        <w:lastRenderedPageBreak/>
        <w:t xml:space="preserve">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Nezahualcóyotl, el Centro de Servicios Fiscales Texcoco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Nezahualcóyotl,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133"/>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133"/>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133"/>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133"/>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133"/>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133"/>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13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13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133"/>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133"/>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133"/>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134"/>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134"/>
        </w:numPr>
        <w:tabs>
          <w:tab w:val="left" w:pos="1134"/>
        </w:tabs>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134"/>
        </w:numPr>
        <w:tabs>
          <w:tab w:val="left" w:pos="1134"/>
        </w:tabs>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34"/>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134"/>
        </w:numPr>
        <w:tabs>
          <w:tab w:val="left" w:pos="1134"/>
        </w:tabs>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134"/>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134"/>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Nezahualcóyotl, el Centro de Servicios Fiscales Texcoco,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Nezahualcóyotl,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III, inciso D, numeral 2, 14, fracciones IX, XXVIII, XXXII, XXXIII, XXXV inciso a), XXXVI, XLV, LII, LIV y LXXII, 15, 16, fracciones V, XI, XIII, primer párrafo, inciso c), XVII y XIX, 16 Bis, fracción III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135"/>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13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137"/>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137"/>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137"/>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37"/>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137"/>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137"/>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137"/>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Nezahualcóyotl y/o Centro de Servicios Fiscales Texcoco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Nezahualcóyotl,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13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136"/>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136"/>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135"/>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13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13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Nezahualcóyotl, el Centro de Servicios Fiscales Texcoco,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Nezahualcóyotl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13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13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13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w:t>
      </w:r>
      <w:r w:rsidRPr="00603BE8">
        <w:rPr>
          <w:rFonts w:ascii="Arial" w:hAnsi="Arial" w:cs="Arial"/>
          <w:sz w:val="18"/>
          <w:szCs w:val="18"/>
        </w:rPr>
        <w:lastRenderedPageBreak/>
        <w:t xml:space="preserve">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138"/>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13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3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13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13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138"/>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139"/>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139"/>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139"/>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906716"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140"/>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140"/>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140"/>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pStyle w:val="Prrafodelista"/>
        <w:ind w:left="0" w:right="-2"/>
        <w:contextualSpacing w:val="0"/>
        <w:rPr>
          <w:rFonts w:ascii="Arial" w:hAnsi="Arial" w:cs="Arial"/>
          <w:sz w:val="18"/>
          <w:szCs w:val="18"/>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lastRenderedPageBreak/>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141"/>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141"/>
        </w:numPr>
        <w:tabs>
          <w:tab w:val="clear" w:pos="644"/>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141"/>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141"/>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seis de enero de dos mil dieciséis.</w:t>
      </w: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JORGE ALBERTO SALAZAR BOJORGES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PRESIDENTE MUNICIPAL PROVISIONAL</w:t>
            </w:r>
          </w:p>
          <w:p w:rsidR="0028592A" w:rsidRPr="0028592A" w:rsidRDefault="0028592A" w:rsidP="00E427BE">
            <w:pPr>
              <w:spacing w:after="0" w:line="240" w:lineRule="auto"/>
              <w:jc w:val="center"/>
              <w:rPr>
                <w:rFonts w:ascii="Arial" w:hAnsi="Arial" w:cs="Arial"/>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C. ARMANDO RUBÍ GARCÍA </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FILIBERTO NICOLÁS JIMÉNEZ AYALA</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pBdr>
          <w:top w:val="single" w:sz="18" w:space="1" w:color="auto"/>
        </w:pBdr>
        <w:spacing w:after="0" w:line="240" w:lineRule="auto"/>
        <w:rPr>
          <w:rFonts w:ascii="Arial" w:hAnsi="Arial" w:cs="Arial"/>
          <w:sz w:val="18"/>
          <w:szCs w:val="18"/>
        </w:rPr>
      </w:pPr>
    </w:p>
    <w:p w:rsidR="0028592A" w:rsidRPr="00603BE8" w:rsidRDefault="004B77E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124325" cy="3162300"/>
            <wp:effectExtent l="0" t="0" r="9525" b="0"/>
            <wp:docPr id="11" name="Imagen 79"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descr="0001"/>
                    <pic:cNvPicPr>
                      <a:picLocks noChangeAspect="1" noChangeArrowheads="1"/>
                    </pic:cNvPicPr>
                  </pic:nvPicPr>
                  <pic:blipFill>
                    <a:blip r:embed="rId9">
                      <a:extLst>
                        <a:ext uri="{28A0092B-C50C-407E-A947-70E740481C1C}">
                          <a14:useLocalDpi xmlns:a14="http://schemas.microsoft.com/office/drawing/2010/main" val="0"/>
                        </a:ext>
                      </a:extLst>
                    </a:blip>
                    <a:srcRect l="6168" t="4974" r="8315" b="7469"/>
                    <a:stretch>
                      <a:fillRect/>
                    </a:stretch>
                  </pic:blipFill>
                  <pic:spPr bwMode="auto">
                    <a:xfrm>
                      <a:off x="0" y="0"/>
                      <a:ext cx="4124325" cy="3162300"/>
                    </a:xfrm>
                    <a:prstGeom prst="rect">
                      <a:avLst/>
                    </a:prstGeom>
                    <a:noFill/>
                    <a:ln>
                      <a:noFill/>
                    </a:ln>
                  </pic:spPr>
                </pic:pic>
              </a:graphicData>
            </a:graphic>
          </wp:inline>
        </w:drawing>
      </w:r>
    </w:p>
    <w:p w:rsidR="0028592A" w:rsidRPr="00603BE8" w:rsidRDefault="004B77E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495800" cy="2514600"/>
            <wp:effectExtent l="0" t="0" r="0" b="0"/>
            <wp:docPr id="12" name="Imagen 80"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descr="0002"/>
                    <pic:cNvPicPr>
                      <a:picLocks noChangeAspect="1" noChangeArrowheads="1"/>
                    </pic:cNvPicPr>
                  </pic:nvPicPr>
                  <pic:blipFill>
                    <a:blip r:embed="rId10">
                      <a:extLst>
                        <a:ext uri="{28A0092B-C50C-407E-A947-70E740481C1C}">
                          <a14:useLocalDpi xmlns:a14="http://schemas.microsoft.com/office/drawing/2010/main" val="0"/>
                        </a:ext>
                      </a:extLst>
                    </a:blip>
                    <a:srcRect l="8559" t="25414" r="10988" b="38132"/>
                    <a:stretch>
                      <a:fillRect/>
                    </a:stretch>
                  </pic:blipFill>
                  <pic:spPr bwMode="auto">
                    <a:xfrm>
                      <a:off x="0" y="0"/>
                      <a:ext cx="4495800" cy="25146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4B77E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5781675"/>
            <wp:effectExtent l="0" t="0" r="9525" b="9525"/>
            <wp:docPr id="13" name="Imagen 8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descr="0001"/>
                    <pic:cNvPicPr>
                      <a:picLocks noChangeAspect="1" noChangeArrowheads="1"/>
                    </pic:cNvPicPr>
                  </pic:nvPicPr>
                  <pic:blipFill>
                    <a:blip r:embed="rId11">
                      <a:extLst>
                        <a:ext uri="{28A0092B-C50C-407E-A947-70E740481C1C}">
                          <a14:useLocalDpi xmlns:a14="http://schemas.microsoft.com/office/drawing/2010/main" val="0"/>
                        </a:ext>
                      </a:extLst>
                    </a:blip>
                    <a:srcRect r="6766" b="10258"/>
                    <a:stretch>
                      <a:fillRect/>
                    </a:stretch>
                  </pic:blipFill>
                  <pic:spPr bwMode="auto">
                    <a:xfrm>
                      <a:off x="0" y="0"/>
                      <a:ext cx="4867275" cy="5781675"/>
                    </a:xfrm>
                    <a:prstGeom prst="rect">
                      <a:avLst/>
                    </a:prstGeom>
                    <a:noFill/>
                    <a:ln>
                      <a:noFill/>
                    </a:ln>
                  </pic:spPr>
                </pic:pic>
              </a:graphicData>
            </a:graphic>
          </wp:inline>
        </w:drawing>
      </w:r>
    </w:p>
    <w:p w:rsidR="0028592A" w:rsidRPr="00603BE8" w:rsidRDefault="004B77E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4143375"/>
            <wp:effectExtent l="0" t="0" r="9525" b="9525"/>
            <wp:docPr id="14" name="Imagen 82"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descr="0002"/>
                    <pic:cNvPicPr>
                      <a:picLocks noChangeAspect="1" noChangeArrowheads="1"/>
                    </pic:cNvPicPr>
                  </pic:nvPicPr>
                  <pic:blipFill>
                    <a:blip r:embed="rId12">
                      <a:extLst>
                        <a:ext uri="{28A0092B-C50C-407E-A947-70E740481C1C}">
                          <a14:useLocalDpi xmlns:a14="http://schemas.microsoft.com/office/drawing/2010/main" val="0"/>
                        </a:ext>
                      </a:extLst>
                    </a:blip>
                    <a:srcRect l="3331" t="5252" r="6267" b="19113"/>
                    <a:stretch>
                      <a:fillRect/>
                    </a:stretch>
                  </pic:blipFill>
                  <pic:spPr bwMode="auto">
                    <a:xfrm>
                      <a:off x="0" y="0"/>
                      <a:ext cx="4848225" cy="41433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4B77E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4276725"/>
            <wp:effectExtent l="0" t="0" r="0" b="9525"/>
            <wp:docPr id="15" name="Imagen 83"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0003"/>
                    <pic:cNvPicPr>
                      <a:picLocks noChangeAspect="1" noChangeArrowheads="1"/>
                    </pic:cNvPicPr>
                  </pic:nvPicPr>
                  <pic:blipFill>
                    <a:blip r:embed="rId13">
                      <a:extLst>
                        <a:ext uri="{28A0092B-C50C-407E-A947-70E740481C1C}">
                          <a14:useLocalDpi xmlns:a14="http://schemas.microsoft.com/office/drawing/2010/main" val="0"/>
                        </a:ext>
                      </a:extLst>
                    </a:blip>
                    <a:srcRect l="2155" t="3209" r="3815" b="16742"/>
                    <a:stretch>
                      <a:fillRect/>
                    </a:stretch>
                  </pic:blipFill>
                  <pic:spPr bwMode="auto">
                    <a:xfrm>
                      <a:off x="0" y="0"/>
                      <a:ext cx="4857750" cy="4276725"/>
                    </a:xfrm>
                    <a:prstGeom prst="rect">
                      <a:avLst/>
                    </a:prstGeom>
                    <a:noFill/>
                    <a:ln>
                      <a:noFill/>
                    </a:ln>
                  </pic:spPr>
                </pic:pic>
              </a:graphicData>
            </a:graphic>
          </wp:inline>
        </w:drawing>
      </w:r>
    </w:p>
    <w:p w:rsidR="0028592A" w:rsidRPr="00603BE8" w:rsidRDefault="004B77E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76800" cy="4314825"/>
            <wp:effectExtent l="0" t="0" r="0" b="9525"/>
            <wp:docPr id="16" name="Imagen 84"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descr="0001"/>
                    <pic:cNvPicPr>
                      <a:picLocks noChangeAspect="1" noChangeArrowheads="1"/>
                    </pic:cNvPicPr>
                  </pic:nvPicPr>
                  <pic:blipFill>
                    <a:blip r:embed="rId14">
                      <a:extLst>
                        <a:ext uri="{28A0092B-C50C-407E-A947-70E740481C1C}">
                          <a14:useLocalDpi xmlns:a14="http://schemas.microsoft.com/office/drawing/2010/main" val="0"/>
                        </a:ext>
                      </a:extLst>
                    </a:blip>
                    <a:srcRect l="6917" t="2988" r="6192" b="20311"/>
                    <a:stretch>
                      <a:fillRect/>
                    </a:stretch>
                  </pic:blipFill>
                  <pic:spPr bwMode="auto">
                    <a:xfrm>
                      <a:off x="0" y="0"/>
                      <a:ext cx="4876800" cy="431482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sectPr w:rsidR="0028592A" w:rsidRPr="00603BE8"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C6407"/>
    <w:rsid w:val="000E769C"/>
    <w:rsid w:val="001A2D66"/>
    <w:rsid w:val="001B6BB6"/>
    <w:rsid w:val="001E365B"/>
    <w:rsid w:val="002119D2"/>
    <w:rsid w:val="00230C50"/>
    <w:rsid w:val="002345FD"/>
    <w:rsid w:val="0028592A"/>
    <w:rsid w:val="002E69DF"/>
    <w:rsid w:val="003211F5"/>
    <w:rsid w:val="00424285"/>
    <w:rsid w:val="00470C4E"/>
    <w:rsid w:val="004B77E0"/>
    <w:rsid w:val="004C26DE"/>
    <w:rsid w:val="00541065"/>
    <w:rsid w:val="00570672"/>
    <w:rsid w:val="005A1D48"/>
    <w:rsid w:val="005C3606"/>
    <w:rsid w:val="005E16A1"/>
    <w:rsid w:val="006D2FE4"/>
    <w:rsid w:val="007519D2"/>
    <w:rsid w:val="007C0A39"/>
    <w:rsid w:val="007E564E"/>
    <w:rsid w:val="00915A6B"/>
    <w:rsid w:val="009E13EA"/>
    <w:rsid w:val="00A46EE3"/>
    <w:rsid w:val="00A644FD"/>
    <w:rsid w:val="00AC57FF"/>
    <w:rsid w:val="00BA3EA6"/>
    <w:rsid w:val="00BC7D51"/>
    <w:rsid w:val="00D559AD"/>
    <w:rsid w:val="00D57936"/>
    <w:rsid w:val="00D83C25"/>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97FCE3-A224-4E16-8A61-1C4A9DC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6721</Words>
  <Characters>36970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43604</CharactersWithSpaces>
  <SharedDoc>false</SharedDoc>
  <HLinks>
    <vt:vector size="12" baseType="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2017-05-31T22:17:00Z</dcterms:created>
  <dcterms:modified xsi:type="dcterms:W3CDTF">2017-05-31T22:17:00Z</dcterms:modified>
</cp:coreProperties>
</file>